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B37EB9" w:rsidRDefault="006A6955" w:rsidP="00B37EB9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4463415</wp:posOffset>
                </wp:positionH>
                <wp:positionV relativeFrom="page">
                  <wp:posOffset>1085850</wp:posOffset>
                </wp:positionV>
                <wp:extent cx="1748155" cy="127889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748155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961FB" w:rsidRDefault="00E961FB" w:rsidP="00B37EB9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6A6955" w:rsidRDefault="006A6955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53DA5" w:rsidRDefault="00953DA5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53DA5" w:rsidRDefault="00953DA5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6A6955" w:rsidRDefault="006A695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2F5496" w:themeColor="accent5" w:themeShade="BF"/>
              <w:sz w:val="24"/>
              <w:szCs w:val="24"/>
              <w:lang w:eastAsia="ru-RU"/>
            </w:rPr>
          </w:pPr>
          <w:r w:rsidRPr="006A6955">
            <w:rPr>
              <w:rFonts w:ascii="Times New Roman" w:eastAsia="Times New Roman" w:hAnsi="Times New Roman" w:cs="Times New Roman"/>
              <w:b/>
              <w:bCs/>
              <w:color w:val="2F5496" w:themeColor="accent5" w:themeShade="BF"/>
              <w:sz w:val="24"/>
              <w:szCs w:val="24"/>
              <w:lang w:eastAsia="ru-RU"/>
            </w:rPr>
            <w:t>ОГЛАВЛЕНИЕ</w:t>
          </w:r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854335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Программа инструктажа по охране труда и технике безопасности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_Toc507427594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2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595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Инструкция по охране труда для участников 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_Toc507427595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596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1.Общие требования охраны труда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_Toc507427596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597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2.Требования охраны труда перед началом работы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_Toc507427597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6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598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3.Требования охраны труда во время работы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_Toc507427598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8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599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_Toc507427599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8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600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5.Требование охраны труда по окончании работ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_Toc507427600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601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Инструкция по охране труда для экспертов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_Toc507427601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602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1.Общие требования охраны труда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_Toc507427602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603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2.Требования охраны труда перед началом работы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_Toc507427603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11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604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3.Требования охраны труда во время работы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_Toc507427604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12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6A695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07427605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_Toc507427605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13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854335" w:rsidRDefault="00A362E0" w:rsidP="006A6955">
          <w:pPr>
            <w:tabs>
              <w:tab w:val="right" w:leader="dot" w:pos="9356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6A695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5.Требование охраны труда по окончании работ</w:t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_Toc507427606 \h </w:instrTex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854335"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6A695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854335" w:rsidRPr="00854335" w:rsidRDefault="00A362E0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2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1.Общие требования охраны труда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Экспертов, Компетенции «Дошкольное воспитание»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«Дошкольное воспитание»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16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«Кузовной ремонт» по стандартам «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имеющие необходимые навыки по эксплуатации образовательного оборудования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инструментарий и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968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437"/>
            <w:gridCol w:w="5249"/>
          </w:tblGrid>
          <w:tr w:rsidR="00854335" w:rsidRPr="00854335" w:rsidTr="006A6955">
            <w:trPr>
              <w:trHeight w:val="272"/>
            </w:trPr>
            <w:tc>
              <w:tcPr>
                <w:tcW w:w="9686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854335" w:rsidRPr="00854335" w:rsidTr="006A6955">
            <w:trPr>
              <w:trHeight w:val="83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6A695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использует под наблюдением эксперта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или назначенного ответственного лица старше 18 лет:</w:t>
                </w: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Краски  акварель и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гуашь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набор кистей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Дырокол 6мм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560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</w:t>
                </w:r>
                <w:proofErr w:type="gramEnd"/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Набор  и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B37EB9" w:rsidTr="006A6955">
            <w:trPr>
              <w:trHeight w:val="545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B37EB9" w:rsidTr="006A6955">
            <w:trPr>
              <w:trHeight w:val="560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плоский, объемный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6A6955">
            <w:trPr>
              <w:trHeight w:val="272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</w:t>
                </w:r>
                <w:proofErr w:type="gramEnd"/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6A6955">
            <w:trPr>
              <w:trHeight w:val="288"/>
            </w:trPr>
            <w:tc>
              <w:tcPr>
                <w:tcW w:w="443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5249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6A6955" w:rsidRDefault="006A695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6A6955" w:rsidRDefault="006A695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6A6955" w:rsidRDefault="006A695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6A6955" w:rsidRDefault="006A695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921"/>
            <w:gridCol w:w="465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Палочки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Киюзинера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Краски  акварель и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гуашь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скобы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стелера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Набор  и инструменты для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квилинга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B37EB9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Базовый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B37EB9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WeDo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Construction Set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Ресурсный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</w:t>
                </w:r>
                <w:proofErr w:type="spell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набор</w:t>
                </w:r>
                <w:proofErr w:type="spell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,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4</w:t>
                </w:r>
                <w:proofErr w:type="gramEnd"/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="00A362E0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="00A362E0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6A695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 w:rsidRP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pt">
                <v:imagedata r:id="rId12" r:href="rId13"/>
              </v:shape>
            </w:pic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A362E0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3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 xml:space="preserve">2.Требования охраны труда перед началом </w:t>
          </w:r>
          <w:bookmarkEnd w:id="3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</w:t>
          </w:r>
          <w:r w:rsidR="006A695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61"/>
            <w:gridCol w:w="6210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-хранить ножницы необходимо в </w:t>
                </w:r>
                <w:proofErr w:type="spell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тулбоксе</w:t>
                </w:r>
                <w:proofErr w:type="spell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 привести в порядок рабочее место, проверить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4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 xml:space="preserve">3.Требования охраны труда во время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84"/>
            <w:gridCol w:w="7487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-запрещается перемещать аппараты </w:t>
                </w:r>
                <w:proofErr w:type="gramStart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включенными</w:t>
                </w:r>
                <w:proofErr w:type="gramEnd"/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вынимать застрявшие листы можно только после отключения 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допускать, чтобы клей попадал на пальцы рук, лицо, особенно глаза</w:t>
                </w:r>
                <w:proofErr w:type="gram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.</w:t>
                </w:r>
                <w:proofErr w:type="gram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 - </w:t>
                </w:r>
                <w:proofErr w:type="gramStart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</w:t>
                </w:r>
                <w:proofErr w:type="gramEnd"/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5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4. Требования охраны труда в аварийных ситуациях</w:t>
          </w:r>
          <w:bookmarkEnd w:id="5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</w:pPr>
          <w:bookmarkStart w:id="6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/>
            </w:rPr>
            <w:t>5.Требование охраны труда по окончании работ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стелажи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7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="00A362E0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"https://studfiles.net/html/2706/32/html_qBHtLJCsya.KhkT/img-9S7d9T.jpg" \* MERGEFORMATINET </w:instrText>
          </w:r>
          <w:r w:rsidR="00A362E0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F52F2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7C53A1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6A695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INCLUDEPICTURE  "https://studfiles.net/html/2706/32/html_qBHtLJCsya.KhkT/img-9S7d9T.jpg" \* MERGEFORMATINET </w:instrTex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r w:rsidR="00A362E0" w:rsidRP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pict>
              <v:shape id="_x0000_i1026" type="#_x0000_t75" style="width:39pt;height:39pt">
                <v:imagedata r:id="rId12" r:href="rId14"/>
              </v:shape>
            </w:pict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A362E0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  <w:r w:rsidR="00A362E0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854335">
          <w:pPr>
            <w:tabs>
              <w:tab w:val="left" w:pos="709"/>
            </w:tabs>
            <w:spacing w:before="120" w:after="120" w:line="240" w:lineRule="auto"/>
            <w:ind w:left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инструментарий и образовательное оборудование участников в возрасте до 18 лет, участники старше 18 лет осматривают самостоятельно инструментарий,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тулюбокс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и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пользоваться любой документацией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образовательное и интерактивное  оборудование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A362E0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3" w:name="_GoBack"/>
      <w:bookmarkEnd w:id="13"/>
    </w:p>
    <w:sectPr w:rsidR="009D5F75" w:rsidRPr="00E961FB" w:rsidSect="00A362E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A1" w:rsidRDefault="007C53A1" w:rsidP="004D6E23">
      <w:pPr>
        <w:spacing w:after="0" w:line="240" w:lineRule="auto"/>
      </w:pPr>
      <w:r>
        <w:separator/>
      </w:r>
    </w:p>
  </w:endnote>
  <w:endnote w:type="continuationSeparator" w:id="0">
    <w:p w:rsidR="007C53A1" w:rsidRDefault="007C53A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A362E0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53DA5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A1" w:rsidRDefault="007C53A1" w:rsidP="004D6E23">
      <w:pPr>
        <w:spacing w:after="0" w:line="240" w:lineRule="auto"/>
      </w:pPr>
      <w:r>
        <w:separator/>
      </w:r>
    </w:p>
  </w:footnote>
  <w:footnote w:type="continuationSeparator" w:id="0">
    <w:p w:rsidR="007C53A1" w:rsidRDefault="007C53A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A6438"/>
    <w:rsid w:val="00250F13"/>
    <w:rsid w:val="002C57E1"/>
    <w:rsid w:val="003E7D31"/>
    <w:rsid w:val="00435F60"/>
    <w:rsid w:val="004604A6"/>
    <w:rsid w:val="004D6E23"/>
    <w:rsid w:val="006A6955"/>
    <w:rsid w:val="007C53A1"/>
    <w:rsid w:val="00823846"/>
    <w:rsid w:val="00832712"/>
    <w:rsid w:val="00854335"/>
    <w:rsid w:val="00953DA5"/>
    <w:rsid w:val="009D5F75"/>
    <w:rsid w:val="00A362E0"/>
    <w:rsid w:val="00B37EB9"/>
    <w:rsid w:val="00E961FB"/>
    <w:rsid w:val="00F5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Метод кабинет</cp:lastModifiedBy>
  <cp:revision>4</cp:revision>
  <cp:lastPrinted>2018-05-07T10:16:00Z</cp:lastPrinted>
  <dcterms:created xsi:type="dcterms:W3CDTF">2019-04-26T10:08:00Z</dcterms:created>
  <dcterms:modified xsi:type="dcterms:W3CDTF">2019-12-26T07:11:00Z</dcterms:modified>
</cp:coreProperties>
</file>